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84B8" w14:textId="77777777" w:rsidR="005F7CEC" w:rsidRDefault="00B979A5">
      <w:pPr>
        <w:widowControl/>
        <w:rPr>
          <w:szCs w:val="22"/>
        </w:rPr>
      </w:pPr>
      <w:r>
        <w:t>CS</w:t>
      </w:r>
      <w:r>
        <w:cr/>
        <w:t>E-004498/2025</w:t>
      </w:r>
      <w:r>
        <w:cr/>
        <w:t xml:space="preserve">Odpověď výkonné místopředsedkyně </w:t>
      </w:r>
      <w:proofErr w:type="spellStart"/>
      <w:r>
        <w:t>Virkkunenové</w:t>
      </w:r>
      <w:proofErr w:type="spellEnd"/>
      <w:r>
        <w:cr/>
        <w:t>jménem Evropské komise</w:t>
      </w:r>
      <w:r>
        <w:cr/>
        <w:t>
(15.1.2026)</w:t>
      </w:r>
      <w:proofErr w:type="spellStart"/>
      <w:proofErr w:type="gramStart"/>
      <w:proofErr w:type="spellEnd"/>
      <w:proofErr w:type="gramEnd"/>
      <w:r>
        <w:cr/>
      </w:r>
    </w:p>
    <w:p w14:paraId="3F6A53CC" w14:textId="77777777" w:rsidR="11174BF1" w:rsidRDefault="11174BF1" w:rsidP="11174BF1">
      <w:pPr>
        <w:widowControl/>
        <w:jc w:val="both"/>
        <w:rPr>
          <w:szCs w:val="22"/>
        </w:rPr>
      </w:pPr>
    </w:p>
    <w:p w14:paraId="6D1D817D" w14:textId="49808B0A" w:rsidR="00B34BF8" w:rsidRDefault="00B979A5" w:rsidP="002D1F23">
      <w:pPr>
        <w:widowControl/>
        <w:jc w:val="both"/>
        <w:rPr>
          <w:szCs w:val="22"/>
        </w:rPr>
      </w:pPr>
      <w:r>
        <w:t>Iniciativy na podporu mediálního odvětví již Komise předložila nebo s jejich předložením počítá do budoucna. Evropský akt o svobodě médií</w:t>
      </w:r>
      <w:r>
        <w:rPr>
          <w:rFonts w:cstheme="minorBidi"/>
          <w:szCs w:val="22"/>
          <w:vertAlign w:val="superscript"/>
        </w:rPr>
        <w:footnoteReference w:id="1"/>
      </w:r>
      <w:r>
        <w:t xml:space="preserve"> stanoví bezprecedentní záruky svobody, nezávislosti a plurality médií na vnitřním trhu EU. Komise také nedávno předložila návrh na program </w:t>
      </w:r>
      <w:proofErr w:type="spellStart"/>
      <w:r>
        <w:t>AgoraEU</w:t>
      </w:r>
      <w:proofErr w:type="spellEnd"/>
      <w:r>
        <w:t>, aby výrazně podpořila financování pro média v rámci příštího rozpočtu</w:t>
      </w:r>
      <w:r>
        <w:rPr>
          <w:rFonts w:cstheme="minorBidi"/>
          <w:szCs w:val="22"/>
          <w:vertAlign w:val="superscript"/>
        </w:rPr>
        <w:footnoteReference w:id="2"/>
      </w:r>
      <w:r>
        <w:t>.</w:t>
      </w:r>
    </w:p>
    <w:p w14:paraId="1FFD8416" w14:textId="77777777" w:rsidR="00DF2880" w:rsidRDefault="00DF2880" w:rsidP="002D1F23">
      <w:pPr>
        <w:widowControl/>
        <w:jc w:val="both"/>
        <w:rPr>
          <w:szCs w:val="22"/>
        </w:rPr>
      </w:pPr>
    </w:p>
    <w:p w14:paraId="5BC0F437" w14:textId="3DD49C12" w:rsidR="002D1F23" w:rsidRDefault="00C04977" w:rsidP="002D1F23">
      <w:pPr>
        <w:widowControl/>
        <w:jc w:val="both"/>
        <w:rPr>
          <w:szCs w:val="22"/>
        </w:rPr>
      </w:pPr>
      <w:r>
        <w:t>Taktéž oznámila</w:t>
      </w:r>
      <w:r>
        <w:rPr>
          <w:rFonts w:cstheme="minorBidi"/>
          <w:szCs w:val="22"/>
          <w:vertAlign w:val="superscript"/>
        </w:rPr>
        <w:footnoteReference w:id="3"/>
      </w:r>
      <w:r>
        <w:t>, že spustí nový Program pro odolnost médií na podporu nezávislé žurnalistiky. V kontextu vyhodnocování a přezkumu směrnice o audiovizuálních mediálních službách</w:t>
      </w:r>
      <w:r>
        <w:rPr>
          <w:rFonts w:cstheme="minorBidi"/>
          <w:szCs w:val="22"/>
          <w:vertAlign w:val="superscript"/>
        </w:rPr>
        <w:footnoteReference w:id="4"/>
      </w:r>
      <w:r>
        <w:t xml:space="preserve"> Komise posoudí způsoby, jak posílit zdůraznění mediálních služeb obecného zájmu a modernizovat pravidla pro reklamu, aby byla podpořena udržitelnost médií EU. Navíc Komise právě zahájila podpůrnou studii pro přezkum směrnice o autorském právu</w:t>
      </w:r>
      <w:r>
        <w:rPr>
          <w:rFonts w:cstheme="minorBidi"/>
          <w:szCs w:val="22"/>
          <w:vertAlign w:val="superscript"/>
        </w:rPr>
        <w:footnoteReference w:id="5"/>
      </w:r>
      <w:r>
        <w:t xml:space="preserve"> z roku 2019, mimo jiné s cílem posoudit její dopad na příslušné zúčastněné strany, včetně mediálního odvětví.</w:t>
      </w:r>
    </w:p>
    <w:p w14:paraId="1465D2FA" w14:textId="77777777" w:rsidR="436EFCF4" w:rsidRDefault="436EFCF4" w:rsidP="436EFCF4">
      <w:pPr>
        <w:widowControl/>
        <w:jc w:val="both"/>
      </w:pPr>
    </w:p>
    <w:p w14:paraId="215B7100" w14:textId="30B60012" w:rsidR="1C050CED" w:rsidRPr="004C0E43" w:rsidRDefault="00B979A5" w:rsidP="7A70778A">
      <w:pPr>
        <w:widowControl/>
        <w:jc w:val="both"/>
        <w:rPr>
          <w:szCs w:val="22"/>
        </w:rPr>
      </w:pPr>
      <w:r>
        <w:t>Komise rovněž pozorně sleduje, jak na mediální odvětví dopadá umělá inteligence, a to jak z hlediska příležitostí, tak rizik, která s sebou nese, včetně ztráty návštěvnosti z odkazů, poklesu příjmů a důsledků pro udržitelnost mediálního odvětví. Komise tyto záležitosti prozkoumává v souvislosti s prosazováním nařízení o digitálních trzích</w:t>
      </w:r>
      <w:r>
        <w:rPr>
          <w:rStyle w:val="FootnoteReference"/>
          <w:szCs w:val="22"/>
        </w:rPr>
        <w:footnoteReference w:id="6"/>
      </w:r>
      <w:r>
        <w:t xml:space="preserve">, mimo jiné se jimi zabývala v nedávném šetření, ve kterém posuzovala, zda opatření proti zneužívání dobré pověsti stránek uplatňovaná vyhledávačem Google </w:t>
      </w:r>
      <w:proofErr w:type="spellStart"/>
      <w:r>
        <w:t>Search</w:t>
      </w:r>
      <w:proofErr w:type="spellEnd"/>
      <w:r>
        <w:t xml:space="preserve"> nespravedlivým, nepřiměřeným a diskriminačním způsobem narušují svobodu vydavatelů vykonávat svou činnost a jejich schopnost svobodně se rozhodovat o prostředcích zpeněžení svých webových stránek a obsahu</w:t>
      </w:r>
      <w:r>
        <w:rPr>
          <w:szCs w:val="22"/>
          <w:vertAlign w:val="superscript"/>
        </w:rPr>
        <w:footnoteReference w:id="7"/>
      </w:r>
      <w:r>
        <w:t>. Kromě výše uvedeného ještě Komise 9. prosince 2025 zahájila šetření podle článku 102 Smlouvy o fungování EU týkající se způsobu, jakým společnost Google používá obsah vydavatelů ve svých Přehledech od AI a produktech Režimu AI</w:t>
      </w:r>
      <w:r>
        <w:rPr>
          <w:szCs w:val="22"/>
          <w:vertAlign w:val="superscript"/>
        </w:rPr>
        <w:footnoteReference w:id="8"/>
      </w:r>
      <w:r>
        <w:t xml:space="preserve">. </w:t>
      </w:r>
    </w:p>
    <w:p w14:paraId="4C0ADEF9" w14:textId="77777777" w:rsidR="436EFCF4" w:rsidRPr="005C3153" w:rsidRDefault="436EFCF4" w:rsidP="436EFCF4">
      <w:pPr>
        <w:widowControl/>
        <w:jc w:val="both"/>
        <w:rPr>
          <w:szCs w:val="22"/>
        </w:rPr>
      </w:pPr>
    </w:p>
    <w:sectPr w:rsidR="436EFCF4" w:rsidRPr="005C3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76F5" w14:textId="77777777" w:rsidR="000703FF" w:rsidRDefault="000703FF">
      <w:r>
        <w:separator/>
      </w:r>
    </w:p>
  </w:endnote>
  <w:endnote w:type="continuationSeparator" w:id="0">
    <w:p w14:paraId="01D77C3E" w14:textId="77777777" w:rsidR="000703FF" w:rsidRDefault="0007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F204" w14:textId="2BC3FA7A" w:rsidR="00B66873" w:rsidRPr="001D2F3D" w:rsidRDefault="00B66873" w:rsidP="001D2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B5AA" w14:textId="211DD654" w:rsidR="00B66873" w:rsidRPr="004C0E43" w:rsidRDefault="00B66873" w:rsidP="004C0E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976D" w14:textId="73660468" w:rsidR="00B66873" w:rsidRPr="001D2F3D" w:rsidRDefault="00B66873" w:rsidP="001D2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9CFA0" w14:textId="77777777" w:rsidR="000703FF" w:rsidRDefault="000703FF">
      <w:r>
        <w:separator/>
      </w:r>
    </w:p>
  </w:footnote>
  <w:footnote w:type="continuationSeparator" w:id="0">
    <w:p w14:paraId="31FDE96D" w14:textId="77777777" w:rsidR="000703FF" w:rsidRDefault="000703FF">
      <w:r>
        <w:continuationSeparator/>
      </w:r>
    </w:p>
  </w:footnote>
  <w:footnote w:id="1">
    <w:p w14:paraId="7D90710B" w14:textId="77777777" w:rsidR="00DA6E95" w:rsidRPr="00D42853" w:rsidRDefault="00B979A5" w:rsidP="00143496">
      <w:pPr>
        <w:pStyle w:val="FootnoteText"/>
      </w:pPr>
      <w:r>
        <w:rPr>
          <w:rStyle w:val="FootnoteReference"/>
        </w:rPr>
        <w:footnoteRef/>
      </w:r>
      <w:r>
        <w:t xml:space="preserve"> Nařízení Evropského parlamentu a Rady (EU) 2024/1083 ze dne 11. dubna 2024, kterým se stanoví společný rámec pro mediální služby na vnitřním trhu a mění směrnice 2010/13/EU (Evropský akt o svobodě médií)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L, 2024/1083, 17.4.2024).</w:t>
      </w:r>
    </w:p>
  </w:footnote>
  <w:footnote w:id="2">
    <w:p w14:paraId="294D9D3F" w14:textId="1F7DBB60" w:rsidR="00F97143" w:rsidRPr="00F97143" w:rsidRDefault="00B979A5" w:rsidP="00143496">
      <w:pPr>
        <w:pStyle w:val="FootnoteText"/>
      </w:pPr>
      <w:r>
        <w:rPr>
          <w:rStyle w:val="FootnoteReference"/>
        </w:rPr>
        <w:footnoteRef/>
      </w:r>
      <w:r>
        <w:t xml:space="preserve"> Návrh nařízení Evropského parlamentu a Rady, kterým se zavádí program „</w:t>
      </w:r>
      <w:proofErr w:type="spellStart"/>
      <w:r>
        <w:t>AgoraEU</w:t>
      </w:r>
      <w:proofErr w:type="spellEnd"/>
      <w:r>
        <w:t>“ na období 2028–2034 a zrušují nařízení (EU) 2021/692 a (EU) 2021/818.</w:t>
      </w:r>
    </w:p>
  </w:footnote>
  <w:footnote w:id="3">
    <w:p w14:paraId="2196433E" w14:textId="77777777" w:rsidR="008A2564" w:rsidRPr="00612DF8" w:rsidRDefault="00B979A5" w:rsidP="001434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COM(</w:t>
      </w:r>
      <w:proofErr w:type="gramEnd"/>
      <w:r>
        <w:t xml:space="preserve">2025) 870 </w:t>
      </w:r>
      <w:proofErr w:type="spellStart"/>
      <w:r>
        <w:t>final</w:t>
      </w:r>
      <w:proofErr w:type="spellEnd"/>
      <w:r>
        <w:t>.</w:t>
      </w:r>
    </w:p>
  </w:footnote>
  <w:footnote w:id="4">
    <w:p w14:paraId="1C9E74B2" w14:textId="22752F5A" w:rsidR="00FE4AF8" w:rsidRPr="00FE4AF8" w:rsidRDefault="00B979A5" w:rsidP="00143496">
      <w:pPr>
        <w:pStyle w:val="FootnoteText"/>
      </w:pPr>
      <w:r>
        <w:rPr>
          <w:rStyle w:val="FootnoteReference"/>
        </w:rPr>
        <w:footnoteRef/>
      </w:r>
      <w:r>
        <w:t xml:space="preserve"> Směrnice Evropského parlamentu a Rady 2010/13/EU ze dne 10. března 2010 o koordinaci některých právních a správních předpisů členských států upravujících poskytování audiovizuálních mediálních služeb (směrnice o audiovizuálních mediálních službách)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 95, 15.4.2010, s. 1) ve znění směrnice (EU) 2018/1808.</w:t>
      </w:r>
    </w:p>
  </w:footnote>
  <w:footnote w:id="5">
    <w:p w14:paraId="05EF9BF9" w14:textId="77777777" w:rsidR="00B750BE" w:rsidRPr="00B750BE" w:rsidRDefault="00B979A5" w:rsidP="00143496">
      <w:pPr>
        <w:pStyle w:val="FootnoteText"/>
      </w:pPr>
      <w:r>
        <w:rPr>
          <w:rStyle w:val="FootnoteReference"/>
        </w:rPr>
        <w:footnoteRef/>
      </w:r>
      <w:r>
        <w:t xml:space="preserve"> Směrnice Evropského parlamentu a Rady (EU) 2019/790 ze dne 17. dubna 2019 o autorském právu a právech s ním souvisejících na jednotném digitálním trhu a o změně směrnic 96/9/ES a 2001/29/ES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130, 17.5.2019, s. 92).</w:t>
      </w:r>
    </w:p>
  </w:footnote>
  <w:footnote w:id="6">
    <w:p w14:paraId="27C00C96" w14:textId="195502D6" w:rsidR="004D7164" w:rsidRPr="004D7164" w:rsidRDefault="004D7164" w:rsidP="00143496">
      <w:pPr>
        <w:pStyle w:val="FootnoteText"/>
      </w:pPr>
      <w:r>
        <w:rPr>
          <w:rStyle w:val="FootnoteReference"/>
        </w:rPr>
        <w:footnoteRef/>
      </w:r>
      <w:r>
        <w:t xml:space="preserve"> Nařízení Evropského parlamentu a Rady (EU) 2022/1925 ze dne 14. září 2022 o spravedlivých trzích otevřených hospodářské soutěži v digitálním odvětví a o změně směrnic (EU) 2019/1937 a (EU) 2020/1828 (nařízení o digitálních trzích)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 265, 12.10.2022, s. 1).</w:t>
      </w:r>
    </w:p>
  </w:footnote>
  <w:footnote w:id="7">
    <w:p w14:paraId="20CBFAA8" w14:textId="5D5D2F56" w:rsidR="005C3153" w:rsidRPr="00EF4FA2" w:rsidRDefault="00B979A5" w:rsidP="001434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C3153" w:rsidRPr="007E7BA6">
          <w:rPr>
            <w:rStyle w:val="Hyperlink"/>
          </w:rPr>
          <w:t>https://ec.europa.eu/commission/presscorner/de</w:t>
        </w:r>
        <w:r w:rsidR="005C3153" w:rsidRPr="007E7BA6">
          <w:rPr>
            <w:rStyle w:val="Hyperlink"/>
          </w:rPr>
          <w:t>tail/cs/ip_25_2675</w:t>
        </w:r>
      </w:hyperlink>
      <w:r>
        <w:t>.</w:t>
      </w:r>
    </w:p>
  </w:footnote>
  <w:footnote w:id="8">
    <w:p w14:paraId="73346631" w14:textId="68461452" w:rsidR="005C3153" w:rsidRDefault="004D7164" w:rsidP="001434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5C3153" w:rsidRPr="007E7BA6">
          <w:rPr>
            <w:rStyle w:val="Hyperlink"/>
          </w:rPr>
          <w:t>https://ec.europa.eu/commission/</w:t>
        </w:r>
        <w:r w:rsidR="005C3153" w:rsidRPr="007E7BA6">
          <w:rPr>
            <w:rStyle w:val="Hyperlink"/>
          </w:rPr>
          <w:t>presscorner/detail/en/ip_25_2964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176C" w14:textId="77777777" w:rsidR="004C0E43" w:rsidRDefault="004C0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D929" w14:textId="77777777" w:rsidR="004C0E43" w:rsidRDefault="004C0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855" w14:textId="77777777" w:rsidR="004C0E43" w:rsidRDefault="004C0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NORMAL"/>
  </w:docVars>
  <w:rsids>
    <w:rsidRoot w:val="00A77B3E"/>
    <w:rsid w:val="00024A46"/>
    <w:rsid w:val="000703FF"/>
    <w:rsid w:val="000D1A8E"/>
    <w:rsid w:val="000D580B"/>
    <w:rsid w:val="00143496"/>
    <w:rsid w:val="0014688E"/>
    <w:rsid w:val="001C0567"/>
    <w:rsid w:val="001D09AD"/>
    <w:rsid w:val="001D2F3D"/>
    <w:rsid w:val="002D1F23"/>
    <w:rsid w:val="002E0290"/>
    <w:rsid w:val="00405763"/>
    <w:rsid w:val="0046302C"/>
    <w:rsid w:val="004A24C7"/>
    <w:rsid w:val="004C0E43"/>
    <w:rsid w:val="004D7164"/>
    <w:rsid w:val="005C3153"/>
    <w:rsid w:val="005F7CEC"/>
    <w:rsid w:val="00612DF8"/>
    <w:rsid w:val="006F1D33"/>
    <w:rsid w:val="007830C4"/>
    <w:rsid w:val="007D3B82"/>
    <w:rsid w:val="00831A47"/>
    <w:rsid w:val="00850961"/>
    <w:rsid w:val="00862F4B"/>
    <w:rsid w:val="008A2564"/>
    <w:rsid w:val="008B0528"/>
    <w:rsid w:val="00931051"/>
    <w:rsid w:val="00967B4E"/>
    <w:rsid w:val="00A77B3E"/>
    <w:rsid w:val="00AD79B1"/>
    <w:rsid w:val="00B34BF8"/>
    <w:rsid w:val="00B66873"/>
    <w:rsid w:val="00B750BE"/>
    <w:rsid w:val="00B8108D"/>
    <w:rsid w:val="00B979A5"/>
    <w:rsid w:val="00C04977"/>
    <w:rsid w:val="00CA2A55"/>
    <w:rsid w:val="00CD1687"/>
    <w:rsid w:val="00D37E20"/>
    <w:rsid w:val="00D42853"/>
    <w:rsid w:val="00D75147"/>
    <w:rsid w:val="00D82552"/>
    <w:rsid w:val="00DA6E95"/>
    <w:rsid w:val="00DF2880"/>
    <w:rsid w:val="00DF71ED"/>
    <w:rsid w:val="00E33884"/>
    <w:rsid w:val="00E97049"/>
    <w:rsid w:val="00EF4FA2"/>
    <w:rsid w:val="00F222EC"/>
    <w:rsid w:val="00F2597C"/>
    <w:rsid w:val="00F45126"/>
    <w:rsid w:val="00F817CC"/>
    <w:rsid w:val="00F97143"/>
    <w:rsid w:val="00FE4AF8"/>
    <w:rsid w:val="02501AA8"/>
    <w:rsid w:val="060E6E35"/>
    <w:rsid w:val="0C1B4DA6"/>
    <w:rsid w:val="0C97C662"/>
    <w:rsid w:val="0CC09073"/>
    <w:rsid w:val="0DBD3FA5"/>
    <w:rsid w:val="11174BF1"/>
    <w:rsid w:val="18A6BED4"/>
    <w:rsid w:val="1C050CED"/>
    <w:rsid w:val="220E7D07"/>
    <w:rsid w:val="226C8361"/>
    <w:rsid w:val="28352D10"/>
    <w:rsid w:val="2B2578D2"/>
    <w:rsid w:val="2E2FC4CA"/>
    <w:rsid w:val="357B2E94"/>
    <w:rsid w:val="389EDF2B"/>
    <w:rsid w:val="39F24937"/>
    <w:rsid w:val="3B694AE5"/>
    <w:rsid w:val="3BE05C12"/>
    <w:rsid w:val="3C5062F6"/>
    <w:rsid w:val="3F8FA504"/>
    <w:rsid w:val="41B35995"/>
    <w:rsid w:val="436EFCF4"/>
    <w:rsid w:val="4DEB1E5D"/>
    <w:rsid w:val="50B4BB2D"/>
    <w:rsid w:val="50FCCFF3"/>
    <w:rsid w:val="560A7C35"/>
    <w:rsid w:val="5711CA76"/>
    <w:rsid w:val="5ADA143A"/>
    <w:rsid w:val="605646E1"/>
    <w:rsid w:val="628506E8"/>
    <w:rsid w:val="638259F9"/>
    <w:rsid w:val="668C4942"/>
    <w:rsid w:val="68B900B2"/>
    <w:rsid w:val="6C2E1830"/>
    <w:rsid w:val="6E3DFF44"/>
    <w:rsid w:val="74090F4A"/>
    <w:rsid w:val="745C97DA"/>
    <w:rsid w:val="7A70778A"/>
    <w:rsid w:val="7B1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5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eTWBExt">
    <w:name w:val="HideTWBExt"/>
    <w:rPr>
      <w:rFonts w:ascii="Arial" w:hAnsi="Arial"/>
      <w:vanish/>
      <w:color w:val="000080"/>
      <w:sz w:val="20"/>
    </w:rPr>
  </w:style>
  <w:style w:type="character" w:customStyle="1" w:styleId="HideTWBInt">
    <w:name w:val="HideTWBInt"/>
    <w:rPr>
      <w:rFonts w:ascii="Arial" w:eastAsia="Arial" w:hAnsi="Arial" w:cs="Arial"/>
      <w:vanish/>
      <w:color w:val="808080"/>
      <w:sz w:val="20"/>
    </w:rPr>
  </w:style>
  <w:style w:type="paragraph" w:customStyle="1" w:styleId="Normal12a">
    <w:name w:val="Normal12a"/>
    <w:basedOn w:val="Normal"/>
    <w:pPr>
      <w:widowControl/>
      <w:spacing w:after="240"/>
    </w:pPr>
  </w:style>
  <w:style w:type="paragraph" w:customStyle="1" w:styleId="NormalBold">
    <w:name w:val="NormalBold"/>
    <w:basedOn w:val="Normal"/>
    <w:pPr>
      <w:widowControl/>
    </w:pPr>
    <w:rPr>
      <w:b/>
    </w:rPr>
  </w:style>
  <w:style w:type="paragraph" w:customStyle="1" w:styleId="EPFooter2">
    <w:name w:val="EPFooter2"/>
    <w:basedOn w:val="Normal"/>
    <w:next w:val="Normal"/>
    <w:pPr>
      <w:widowControl/>
      <w:tabs>
        <w:tab w:val="center" w:pos="4534"/>
        <w:tab w:val="right" w:pos="9920"/>
      </w:tabs>
      <w:ind w:left="-840" w:right="-840"/>
    </w:pPr>
    <w:rPr>
      <w:rFonts w:ascii="Arial" w:eastAsia="Arial" w:hAnsi="Arial" w:cs="Arial"/>
      <w:b/>
      <w:sz w:val="48"/>
    </w:rPr>
  </w:style>
  <w:style w:type="paragraph" w:customStyle="1" w:styleId="NormalHanging12a">
    <w:name w:val="NormalHanging12a"/>
    <w:basedOn w:val="Normal"/>
    <w:pPr>
      <w:widowControl/>
      <w:spacing w:after="240"/>
      <w:ind w:left="566" w:hanging="566"/>
    </w:pPr>
  </w:style>
  <w:style w:type="paragraph" w:customStyle="1" w:styleId="QuestionSubject">
    <w:name w:val="QuestionSubject"/>
    <w:basedOn w:val="Normal"/>
    <w:pPr>
      <w:widowControl/>
      <w:spacing w:after="240"/>
      <w:ind w:left="1134" w:hanging="1134"/>
    </w:pPr>
  </w:style>
  <w:style w:type="paragraph" w:customStyle="1" w:styleId="EPFooter">
    <w:name w:val="EPFooter"/>
    <w:basedOn w:val="Normal"/>
    <w:pPr>
      <w:widowControl/>
      <w:tabs>
        <w:tab w:val="center" w:pos="4534"/>
        <w:tab w:val="right" w:pos="9070"/>
      </w:tabs>
      <w:spacing w:before="240" w:after="240"/>
    </w:pPr>
    <w:rPr>
      <w:sz w:val="22"/>
    </w:rPr>
  </w:style>
  <w:style w:type="paragraph" w:styleId="TOCHeading">
    <w:name w:val="TOC Heading"/>
    <w:basedOn w:val="Normal"/>
    <w:next w:val="Normal"/>
    <w:uiPriority w:val="39"/>
    <w:unhideWhenUsed/>
    <w:qFormat/>
    <w:rsid w:val="000200DD"/>
    <w:pPr>
      <w:keepLines/>
      <w:widowControl/>
      <w:spacing w:after="240"/>
    </w:pPr>
    <w:rPr>
      <w:b/>
      <w:color w:val="2E74B5"/>
      <w:shd w:val="pct50" w:color="4F81BD" w:themeColor="accent1" w:fill="4F81BD" w:themeFill="accent1"/>
    </w:rPr>
  </w:style>
  <w:style w:type="paragraph" w:customStyle="1" w:styleId="FootnoteTextForceStyle">
    <w:name w:val="Footnote Text ForceStyle"/>
    <w:pPr>
      <w:tabs>
        <w:tab w:val="left" w:pos="284"/>
      </w:tabs>
      <w:ind w:left="284" w:hanging="284"/>
    </w:pPr>
  </w:style>
  <w:style w:type="character" w:customStyle="1" w:styleId="Heading1Char">
    <w:name w:val="Heading 1 Char"/>
    <w:rPr>
      <w:rFonts w:ascii="Calibri Light" w:hAnsi="Calibri Light"/>
      <w:b/>
      <w:sz w:val="32"/>
    </w:rPr>
  </w:style>
  <w:style w:type="character" w:customStyle="1" w:styleId="CMissingStyle">
    <w:name w:val="C_MissingStyle"/>
    <w:rPr>
      <w:color w:val="FFFFFF"/>
      <w:sz w:val="22"/>
      <w:shd w:val="clear" w:color="000000" w:fill="000000"/>
    </w:rPr>
  </w:style>
  <w:style w:type="paragraph" w:customStyle="1" w:styleId="PMissingStyle">
    <w:name w:val="P_MissingStyle"/>
    <w:basedOn w:val="Normal"/>
    <w:pPr>
      <w:widowControl/>
    </w:pPr>
    <w:rPr>
      <w:color w:val="FFFFFF"/>
      <w:shd w:val="clear" w:color="000000" w:fill="000000"/>
    </w:rPr>
  </w:style>
  <w:style w:type="paragraph" w:styleId="Footer">
    <w:name w:val="footer"/>
    <w:basedOn w:val="Normal"/>
    <w:rsid w:val="00EF7B96"/>
    <w:pPr>
      <w:tabs>
        <w:tab w:val="center" w:pos="4677"/>
        <w:tab w:val="right" w:pos="9355"/>
      </w:tabs>
    </w:pPr>
  </w:style>
  <w:style w:type="character" w:styleId="FootnoteReference">
    <w:name w:val="footnote reference"/>
    <w:basedOn w:val="DefaultParagraphFont"/>
    <w:uiPriority w:val="99"/>
    <w:semiHidden/>
    <w:unhideWhenUsed/>
    <w:rsid w:val="00DA6E9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6E95"/>
    <w:pPr>
      <w:widowControl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6E95"/>
  </w:style>
  <w:style w:type="character" w:styleId="Hyperlink">
    <w:name w:val="Hyperlink"/>
    <w:basedOn w:val="DefaultParagraphFont"/>
    <w:uiPriority w:val="99"/>
    <w:unhideWhenUsed/>
    <w:rsid w:val="436EFCF4"/>
    <w:rPr>
      <w:color w:val="0000FF"/>
      <w:u w:val="single"/>
    </w:rPr>
  </w:style>
  <w:style w:type="paragraph" w:styleId="Revision">
    <w:name w:val="Revision"/>
    <w:hidden/>
    <w:uiPriority w:val="99"/>
    <w:semiHidden/>
    <w:rsid w:val="00B979A5"/>
    <w:rPr>
      <w:sz w:val="24"/>
      <w:szCs w:val="24"/>
    </w:rPr>
  </w:style>
  <w:style w:type="character" w:styleId="CommentReference">
    <w:name w:val="annotation reference"/>
    <w:basedOn w:val="DefaultParagraphFont"/>
    <w:rsid w:val="00B979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7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979A5"/>
  </w:style>
  <w:style w:type="paragraph" w:styleId="CommentSubject">
    <w:name w:val="annotation subject"/>
    <w:basedOn w:val="CommentText"/>
    <w:next w:val="CommentText"/>
    <w:link w:val="CommentSubjectChar"/>
    <w:rsid w:val="00B97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79A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979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C0E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0E43"/>
    <w:rPr>
      <w:sz w:val="24"/>
      <w:szCs w:val="24"/>
    </w:rPr>
  </w:style>
  <w:style w:type="character" w:styleId="FollowedHyperlink">
    <w:name w:val="FollowedHyperlink"/>
    <w:basedOn w:val="DefaultParagraphFont"/>
    <w:rsid w:val="005C31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footnotes.xml.rels><?xml version="1.0" encoding="UTF-8" standalone="yes"?>
<Relationships xmlns="http://schemas.openxmlformats.org/package/2006/relationships">
<Relationship Id="rId1" Target="https://ec.europa.eu/commission/presscorner/detail/cs/ip_25_2675" TargetMode="External" Type="http://schemas.openxmlformats.org/officeDocument/2006/relationships/hyperlink"/>
<Relationship Id="rId2" Target="https://ec.europa.eu/commission/presscorner/detail/en/ip_25_2964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2B487-BD56-4487-ADD3-378EE9A2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1668</Characters>
  <Application>Microsoft Office Word</Application>
  <DocSecurity>0</DocSecurity>
  <Lines>31</Lines>
  <Paragraphs>4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2026-01-12T10:53:00Z</dcterms:created>
  <dcterms:modified xsi:type="dcterms:W3CDTF">2026-01-15T10:36:00Z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2026-01-07T13:13:24Z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70ad3d8d-f136-46af-b9ca-dfe97d092cfc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